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89FD7" w14:textId="0BAA2B8D" w:rsidR="006E3B64" w:rsidRPr="00B07E48" w:rsidRDefault="001179F9" w:rsidP="00DF3F5F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ESPECIFICAÇÕES TÉCNICAS</w:t>
      </w:r>
    </w:p>
    <w:p w14:paraId="5FEE3AB1" w14:textId="77777777" w:rsidR="006E3B64" w:rsidRPr="00B07E48" w:rsidRDefault="006E3B64" w:rsidP="006E3B64">
      <w:pPr>
        <w:rPr>
          <w:rFonts w:ascii="Times New Roman" w:hAnsi="Times New Roman"/>
        </w:rPr>
      </w:pPr>
    </w:p>
    <w:p w14:paraId="4C4C406B" w14:textId="77777777" w:rsidR="006E3B64" w:rsidRPr="00B07E48" w:rsidRDefault="006E3B64" w:rsidP="006E3B64">
      <w:pPr>
        <w:rPr>
          <w:rFonts w:ascii="Times New Roman" w:hAnsi="Times New Roman"/>
        </w:rPr>
      </w:pPr>
    </w:p>
    <w:p w14:paraId="5680010B" w14:textId="0F79F054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Área</w:t>
      </w:r>
      <w:r w:rsidRPr="00B07E48">
        <w:rPr>
          <w:rFonts w:ascii="Times New Roman" w:hAnsi="Times New Roman"/>
        </w:rPr>
        <w:t xml:space="preserve">: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</w:r>
      <w:r w:rsidR="00B07E48">
        <w:rPr>
          <w:rFonts w:ascii="Times New Roman" w:hAnsi="Times New Roman"/>
        </w:rPr>
        <w:t xml:space="preserve">5ª </w:t>
      </w:r>
      <w:proofErr w:type="spellStart"/>
      <w:r w:rsidR="00B07E48">
        <w:rPr>
          <w:rFonts w:ascii="Times New Roman" w:hAnsi="Times New Roman"/>
        </w:rPr>
        <w:t>GRR</w:t>
      </w:r>
      <w:proofErr w:type="spellEnd"/>
      <w:r w:rsidRPr="00B07E48">
        <w:rPr>
          <w:rFonts w:ascii="Times New Roman" w:hAnsi="Times New Roman"/>
        </w:rPr>
        <w:t xml:space="preserve"> </w:t>
      </w:r>
    </w:p>
    <w:p w14:paraId="111A0B3E" w14:textId="77777777" w:rsidR="006E3B64" w:rsidRPr="00B07E48" w:rsidRDefault="006E3B64" w:rsidP="006E3B64">
      <w:pPr>
        <w:rPr>
          <w:rFonts w:ascii="Times New Roman" w:hAnsi="Times New Roman"/>
        </w:rPr>
      </w:pPr>
    </w:p>
    <w:p w14:paraId="07B4E77B" w14:textId="39038F5A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Ano: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  <w:t>202</w:t>
      </w:r>
      <w:r w:rsidR="00295605">
        <w:rPr>
          <w:rFonts w:ascii="Times New Roman" w:hAnsi="Times New Roman"/>
        </w:rPr>
        <w:t>2</w:t>
      </w:r>
      <w:r w:rsidRPr="00B07E48">
        <w:rPr>
          <w:rFonts w:ascii="Times New Roman" w:hAnsi="Times New Roman"/>
        </w:rPr>
        <w:t xml:space="preserve"> </w:t>
      </w:r>
    </w:p>
    <w:p w14:paraId="58F6BE71" w14:textId="77777777" w:rsidR="006E3B64" w:rsidRPr="00B07E48" w:rsidRDefault="006E3B64" w:rsidP="006E3B64">
      <w:pPr>
        <w:rPr>
          <w:rFonts w:ascii="Times New Roman" w:hAnsi="Times New Roman"/>
        </w:rPr>
      </w:pPr>
    </w:p>
    <w:p w14:paraId="0F4DA861" w14:textId="1E5E8F64" w:rsidR="006E3B64" w:rsidRDefault="006E3B64" w:rsidP="00295605">
      <w:pPr>
        <w:ind w:left="1410" w:hanging="1410"/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Objetivo: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="001179F9">
        <w:rPr>
          <w:rFonts w:ascii="Times New Roman" w:hAnsi="Times New Roman"/>
        </w:rPr>
        <w:t xml:space="preserve">Estipular as especificações técnicas mínimas em referência aos bens que serão adquiridos por meio de Certame Licitatório, na modalidade Pregão Eletrônico – Sistema de Registro de Preços, para </w:t>
      </w:r>
      <w:r w:rsidR="001179F9" w:rsidRPr="001179F9">
        <w:rPr>
          <w:rFonts w:ascii="Times New Roman" w:hAnsi="Times New Roman"/>
        </w:rPr>
        <w:t xml:space="preserve">eventual </w:t>
      </w:r>
      <w:r w:rsidR="00A44EC6" w:rsidRPr="00A44EC6">
        <w:rPr>
          <w:rFonts w:ascii="Times New Roman" w:hAnsi="Times New Roman"/>
        </w:rPr>
        <w:t xml:space="preserve">fornecimento, carga, transporte e descarga de </w:t>
      </w:r>
      <w:r w:rsidR="00295605" w:rsidRPr="00295605">
        <w:rPr>
          <w:rFonts w:ascii="Times New Roman" w:hAnsi="Times New Roman"/>
        </w:rPr>
        <w:t>160 tratores agrícolas de pneus para</w:t>
      </w:r>
      <w:r w:rsidR="00295605">
        <w:rPr>
          <w:rFonts w:ascii="Times New Roman" w:hAnsi="Times New Roman"/>
        </w:rPr>
        <w:t xml:space="preserve"> </w:t>
      </w:r>
      <w:r w:rsidR="00295605" w:rsidRPr="00295605">
        <w:rPr>
          <w:rFonts w:ascii="Times New Roman" w:hAnsi="Times New Roman"/>
        </w:rPr>
        <w:t>doação a associações e cooperativas da agricultura familiar, pertencentes a municípios localizados</w:t>
      </w:r>
      <w:r w:rsidR="00295605">
        <w:rPr>
          <w:rFonts w:ascii="Times New Roman" w:hAnsi="Times New Roman"/>
        </w:rPr>
        <w:t xml:space="preserve"> </w:t>
      </w:r>
      <w:r w:rsidR="00295605" w:rsidRPr="00295605">
        <w:rPr>
          <w:rFonts w:ascii="Times New Roman" w:hAnsi="Times New Roman"/>
        </w:rPr>
        <w:t>na área de atuação da Codevasf, em alagoas, visando dotá-las de melhores condições produtivas,</w:t>
      </w:r>
      <w:r w:rsidR="00295605">
        <w:rPr>
          <w:rFonts w:ascii="Times New Roman" w:hAnsi="Times New Roman"/>
        </w:rPr>
        <w:t xml:space="preserve"> </w:t>
      </w:r>
      <w:r w:rsidR="00295605" w:rsidRPr="00295605">
        <w:rPr>
          <w:rFonts w:ascii="Times New Roman" w:hAnsi="Times New Roman"/>
        </w:rPr>
        <w:t>promovendo o bem-estar das populações existentes nesses territórios. Trata-se de 150 (cento e cinquenta) tratores agrícolas de pneus do tipo plataformado e 10 tratores agrícolas de pneus</w:t>
      </w:r>
      <w:r w:rsidR="00295605">
        <w:rPr>
          <w:rFonts w:ascii="Times New Roman" w:hAnsi="Times New Roman"/>
        </w:rPr>
        <w:t xml:space="preserve"> </w:t>
      </w:r>
      <w:r w:rsidR="00295605" w:rsidRPr="00295605">
        <w:rPr>
          <w:rFonts w:ascii="Times New Roman" w:hAnsi="Times New Roman"/>
        </w:rPr>
        <w:t>equipados com cabine climatizada, conforme escopo de fornecimento e planilha de quantidades e</w:t>
      </w:r>
      <w:r w:rsidR="00295605">
        <w:rPr>
          <w:rFonts w:ascii="Times New Roman" w:hAnsi="Times New Roman"/>
        </w:rPr>
        <w:t xml:space="preserve"> </w:t>
      </w:r>
      <w:r w:rsidR="00295605" w:rsidRPr="00295605">
        <w:rPr>
          <w:rFonts w:ascii="Times New Roman" w:hAnsi="Times New Roman"/>
        </w:rPr>
        <w:t>preços, Anexo II deste Termo de Referência</w:t>
      </w:r>
      <w:r w:rsidR="00EC078A">
        <w:rPr>
          <w:rFonts w:ascii="Times New Roman" w:hAnsi="Times New Roman"/>
        </w:rPr>
        <w:t>.</w:t>
      </w:r>
    </w:p>
    <w:p w14:paraId="2CAFACB2" w14:textId="77777777" w:rsidR="00295605" w:rsidRPr="00B07E48" w:rsidRDefault="00295605" w:rsidP="00295605">
      <w:pPr>
        <w:ind w:left="1410" w:hanging="1410"/>
        <w:rPr>
          <w:rFonts w:ascii="Times New Roman" w:hAnsi="Times New Roman"/>
        </w:rPr>
      </w:pPr>
    </w:p>
    <w:p w14:paraId="32E71045" w14:textId="77777777" w:rsidR="006E3B64" w:rsidRPr="00B07E48" w:rsidRDefault="006E3B64" w:rsidP="006E3B64">
      <w:pPr>
        <w:rPr>
          <w:rFonts w:ascii="Times New Roman" w:hAnsi="Times New Roman"/>
        </w:rPr>
      </w:pPr>
    </w:p>
    <w:p w14:paraId="485640E4" w14:textId="77777777" w:rsidR="00293F69" w:rsidRPr="00B07E48" w:rsidRDefault="00293F69" w:rsidP="00293F69">
      <w:pPr>
        <w:ind w:left="1410" w:hanging="1410"/>
        <w:rPr>
          <w:rFonts w:ascii="Times New Roman" w:hAnsi="Times New Roman"/>
          <w:b/>
        </w:rPr>
      </w:pPr>
      <w:r w:rsidRPr="00B07E48">
        <w:rPr>
          <w:rFonts w:ascii="Times New Roman" w:hAnsi="Times New Roman"/>
          <w:b/>
        </w:rPr>
        <w:t xml:space="preserve">Fonte de </w:t>
      </w:r>
    </w:p>
    <w:p w14:paraId="297BB366" w14:textId="155854B8" w:rsidR="006E3B64" w:rsidRDefault="00293F69" w:rsidP="00293F69">
      <w:pPr>
        <w:ind w:left="1410" w:hanging="1410"/>
        <w:rPr>
          <w:rFonts w:ascii="Times New Roman" w:hAnsi="Times New Roman"/>
        </w:rPr>
      </w:pPr>
      <w:r w:rsidRPr="00B07E48">
        <w:rPr>
          <w:rFonts w:ascii="Times New Roman" w:hAnsi="Times New Roman"/>
          <w:b/>
        </w:rPr>
        <w:t>Recursos</w:t>
      </w:r>
      <w:r w:rsidRPr="00B07E48">
        <w:rPr>
          <w:rFonts w:ascii="Times New Roman" w:hAnsi="Times New Roman"/>
          <w:b/>
          <w:bCs/>
        </w:rPr>
        <w:t xml:space="preserve"> </w:t>
      </w:r>
      <w:r w:rsidR="0004098C" w:rsidRPr="00B07E48">
        <w:rPr>
          <w:rFonts w:ascii="Times New Roman" w:hAnsi="Times New Roman"/>
          <w:b/>
          <w:bCs/>
        </w:rPr>
        <w:t xml:space="preserve">   </w:t>
      </w:r>
      <w:r w:rsidR="001179F9">
        <w:rPr>
          <w:rFonts w:ascii="Times New Roman" w:hAnsi="Times New Roman"/>
          <w:b/>
          <w:bCs/>
        </w:rPr>
        <w:t xml:space="preserve">   </w:t>
      </w:r>
      <w:r w:rsidR="001179F9" w:rsidRPr="001179F9">
        <w:rPr>
          <w:rFonts w:ascii="Times New Roman" w:hAnsi="Times New Roman"/>
        </w:rPr>
        <w:t>P</w:t>
      </w:r>
      <w:r w:rsidR="006E3B64" w:rsidRPr="00B07E48">
        <w:rPr>
          <w:rFonts w:ascii="Times New Roman" w:hAnsi="Times New Roman"/>
        </w:rPr>
        <w:t>or se tratar de Registro de Preços, não será necessário informar fontes de recursos,</w:t>
      </w:r>
      <w:r w:rsidR="00B07E48">
        <w:rPr>
          <w:rFonts w:ascii="Times New Roman" w:hAnsi="Times New Roman"/>
        </w:rPr>
        <w:t xml:space="preserve"> </w:t>
      </w:r>
      <w:r w:rsidR="006E3B64" w:rsidRPr="00B07E48">
        <w:rPr>
          <w:rFonts w:ascii="Times New Roman" w:hAnsi="Times New Roman"/>
        </w:rPr>
        <w:t>no momento.</w:t>
      </w:r>
    </w:p>
    <w:p w14:paraId="78B6D089" w14:textId="186B12BB" w:rsidR="001179F9" w:rsidRDefault="001179F9" w:rsidP="00293F69">
      <w:pPr>
        <w:ind w:left="1410" w:hanging="1410"/>
        <w:rPr>
          <w:rFonts w:ascii="Times New Roman" w:hAnsi="Times New Roman"/>
        </w:rPr>
      </w:pPr>
    </w:p>
    <w:p w14:paraId="5EBA4641" w14:textId="2B261FE7" w:rsidR="001179F9" w:rsidRDefault="001179F9" w:rsidP="00293F69">
      <w:pPr>
        <w:ind w:left="1410" w:hanging="1410"/>
        <w:rPr>
          <w:rFonts w:ascii="Times New Roman" w:hAnsi="Times New Roman"/>
        </w:rPr>
      </w:pPr>
    </w:p>
    <w:p w14:paraId="70A2B728" w14:textId="3E4184FE" w:rsidR="001179F9" w:rsidRDefault="001179F9" w:rsidP="001179F9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t>Itens 0</w:t>
      </w:r>
      <w:r>
        <w:rPr>
          <w:rFonts w:ascii="Times New Roman" w:hAnsi="Times New Roman"/>
          <w:b/>
          <w:bCs/>
        </w:rPr>
        <w:t xml:space="preserve">1 e 02 </w:t>
      </w:r>
      <w:r w:rsidRPr="001179F9">
        <w:rPr>
          <w:rFonts w:ascii="Times New Roman" w:hAnsi="Times New Roman"/>
          <w:b/>
          <w:bCs/>
        </w:rPr>
        <w:t xml:space="preserve">(Cota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8.538/15)</w:t>
      </w:r>
      <w:r>
        <w:rPr>
          <w:rFonts w:ascii="Times New Roman" w:hAnsi="Times New Roman"/>
          <w:b/>
          <w:bCs/>
        </w:rPr>
        <w:t>:</w:t>
      </w:r>
      <w:r w:rsidR="00295605">
        <w:rPr>
          <w:rFonts w:ascii="Times New Roman" w:hAnsi="Times New Roman"/>
          <w:b/>
          <w:bCs/>
        </w:rPr>
        <w:t xml:space="preserve"> </w:t>
      </w:r>
      <w:r w:rsidR="00295605" w:rsidRPr="00295605">
        <w:rPr>
          <w:rFonts w:ascii="Times New Roman" w:hAnsi="Times New Roman"/>
          <w:b/>
          <w:bCs/>
        </w:rPr>
        <w:t>Trator agrícola de pneus plataformado - Potência de 80CV</w:t>
      </w:r>
      <w:r>
        <w:rPr>
          <w:rFonts w:ascii="Times New Roman" w:hAnsi="Times New Roman"/>
          <w:b/>
          <w:bCs/>
        </w:rPr>
        <w:t>;</w:t>
      </w:r>
    </w:p>
    <w:p w14:paraId="0BA29915" w14:textId="77777777" w:rsidR="001179F9" w:rsidRDefault="001179F9" w:rsidP="001179F9">
      <w:pPr>
        <w:ind w:left="1410"/>
        <w:rPr>
          <w:rFonts w:ascii="Times New Roman" w:hAnsi="Times New Roman"/>
        </w:rPr>
      </w:pPr>
    </w:p>
    <w:p w14:paraId="56568AEE" w14:textId="724685A6" w:rsidR="001179F9" w:rsidRDefault="00295605" w:rsidP="001179F9">
      <w:pPr>
        <w:ind w:left="1410"/>
        <w:rPr>
          <w:rFonts w:ascii="Times New Roman" w:hAnsi="Times New Roman"/>
        </w:rPr>
      </w:pPr>
      <w:r w:rsidRPr="00295605">
        <w:rPr>
          <w:rFonts w:ascii="Times New Roman" w:hAnsi="Times New Roman"/>
        </w:rPr>
        <w:t xml:space="preserve">TRATOR DE RODA COM PLATAFORMA PARA AGRICULTURA - Potência mínima de 80 CV; ano 2021 ou superior, motor com tecnologia </w:t>
      </w:r>
      <w:proofErr w:type="spellStart"/>
      <w:r w:rsidRPr="00295605">
        <w:rPr>
          <w:rFonts w:ascii="Times New Roman" w:hAnsi="Times New Roman"/>
        </w:rPr>
        <w:t>Tier</w:t>
      </w:r>
      <w:proofErr w:type="spellEnd"/>
      <w:r w:rsidRPr="00295605">
        <w:rPr>
          <w:rFonts w:ascii="Times New Roman" w:hAnsi="Times New Roman"/>
        </w:rPr>
        <w:t xml:space="preserve"> III/MAR 1 (em conformidade com a norma de emissão de poluentes); Plataformado com estrutura protetora contra capotamento e capota; 04 rodas, tração 4x4; Transmissão com no mínimo 09 marchas à frente e 03 à ré, com reversor no painel, com tomada de força @540; pneus dianteiros 12.4-24 R1, ou equivalente, com 10 lonas e pneus traseiros 18.4-30 R1, ou equivalente, com 10 lonas; Levante hidráulico de 3 pontos completo classe II, barra de tração com pino e contrapino, com pesos de lastro dianteiros de, no mínimo, 160Kg e pesos de lastro traseiros axiais de, no mínimo, 200Kg; Com comando Hidráulico de duas válvulas acionadas por alavanca, com 4 engates rápidos, sendo 02 de entrada e dois de saída. Alimentação por bomba injetora única, com funcionamento por engrenagens ou por pistões. Tanque de combustível com capacidade mínima 100 litros; </w:t>
      </w:r>
      <w:r w:rsidRPr="00295605">
        <w:rPr>
          <w:rFonts w:ascii="Times New Roman" w:hAnsi="Times New Roman"/>
        </w:rPr>
        <w:t>montado</w:t>
      </w:r>
      <w:r w:rsidRPr="00295605">
        <w:rPr>
          <w:rFonts w:ascii="Times New Roman" w:hAnsi="Times New Roman"/>
        </w:rPr>
        <w:t>, pronto para ser utilizado com todos os fluidos e lubrificantes inclusos, tanque de combustível cheio; entrega técnica com os custos envolvidos inclusos; Garantia mínima de 01 (um) ano, sem limite hora/máquina. O(s) fabricante(s) dos bens, na data da assinatura da Ata de Registro de Preços, deverá(</w:t>
      </w:r>
      <w:proofErr w:type="spellStart"/>
      <w:r w:rsidRPr="00295605">
        <w:rPr>
          <w:rFonts w:ascii="Times New Roman" w:hAnsi="Times New Roman"/>
        </w:rPr>
        <w:t>ão</w:t>
      </w:r>
      <w:proofErr w:type="spellEnd"/>
      <w:r w:rsidRPr="00295605">
        <w:rPr>
          <w:rFonts w:ascii="Times New Roman" w:hAnsi="Times New Roman"/>
        </w:rPr>
        <w:t xml:space="preserve">) ter empresa(s) autorizada(s) para prestar assistência técnica em um raio de até 250 km, onde serão entregues os itens, sob </w:t>
      </w:r>
      <w:r w:rsidRPr="00295605">
        <w:rPr>
          <w:rFonts w:ascii="Times New Roman" w:hAnsi="Times New Roman"/>
        </w:rPr>
        <w:lastRenderedPageBreak/>
        <w:t>pena de não ser contratada, na forma do que é descrito no item 5.13 do Termo de Referência.</w:t>
      </w:r>
    </w:p>
    <w:p w14:paraId="2104A6BC" w14:textId="4A7D50D7" w:rsidR="001179F9" w:rsidRDefault="001179F9" w:rsidP="001179F9">
      <w:pPr>
        <w:ind w:left="1410"/>
        <w:rPr>
          <w:rFonts w:ascii="Times New Roman" w:hAnsi="Times New Roman"/>
        </w:rPr>
      </w:pPr>
    </w:p>
    <w:p w14:paraId="44931A14" w14:textId="306C765A" w:rsidR="001179F9" w:rsidRDefault="001179F9" w:rsidP="001179F9">
      <w:pPr>
        <w:ind w:left="1410"/>
        <w:rPr>
          <w:rFonts w:ascii="Times New Roman" w:hAnsi="Times New Roman"/>
        </w:rPr>
      </w:pPr>
      <w:proofErr w:type="spellStart"/>
      <w:r w:rsidRPr="001179F9">
        <w:rPr>
          <w:rFonts w:ascii="Times New Roman" w:hAnsi="Times New Roman"/>
          <w:b/>
          <w:bCs/>
        </w:rPr>
        <w:t>CATMAT</w:t>
      </w:r>
      <w:proofErr w:type="spellEnd"/>
      <w:r w:rsidRPr="001179F9"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</w:rPr>
        <w:t xml:space="preserve"> </w:t>
      </w:r>
      <w:r w:rsidR="00CC0B1C" w:rsidRPr="00CC0B1C">
        <w:rPr>
          <w:rFonts w:ascii="Times New Roman" w:hAnsi="Times New Roman"/>
        </w:rPr>
        <w:t>BR</w:t>
      </w:r>
      <w:r w:rsidR="00295605" w:rsidRPr="00295605">
        <w:rPr>
          <w:rFonts w:ascii="Times New Roman" w:hAnsi="Times New Roman"/>
        </w:rPr>
        <w:t>455702</w:t>
      </w:r>
    </w:p>
    <w:p w14:paraId="5D9976CC" w14:textId="636F5C4E" w:rsidR="001179F9" w:rsidRDefault="001179F9" w:rsidP="001179F9">
      <w:pPr>
        <w:ind w:left="1410"/>
        <w:rPr>
          <w:rFonts w:ascii="Times New Roman" w:hAnsi="Times New Roman"/>
        </w:rPr>
      </w:pPr>
    </w:p>
    <w:p w14:paraId="6E5BDC8E" w14:textId="1D56D7E6" w:rsidR="002F33F4" w:rsidRDefault="001179F9" w:rsidP="00C247A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</w:t>
      </w:r>
      <w:r w:rsidR="00295605">
        <w:rPr>
          <w:rFonts w:ascii="Times New Roman" w:hAnsi="Times New Roman"/>
        </w:rPr>
        <w:t>150</w:t>
      </w:r>
      <w:r>
        <w:rPr>
          <w:rFonts w:ascii="Times New Roman" w:hAnsi="Times New Roman"/>
        </w:rPr>
        <w:t xml:space="preserve"> (</w:t>
      </w:r>
      <w:r w:rsidR="00295605">
        <w:rPr>
          <w:rFonts w:ascii="Times New Roman" w:hAnsi="Times New Roman"/>
        </w:rPr>
        <w:t>cento e cinquenta</w:t>
      </w:r>
      <w:r>
        <w:rPr>
          <w:rFonts w:ascii="Times New Roman" w:hAnsi="Times New Roman"/>
        </w:rPr>
        <w:t>)</w:t>
      </w:r>
    </w:p>
    <w:p w14:paraId="48E04DA7" w14:textId="762431BC" w:rsidR="00A15870" w:rsidRDefault="00A15870" w:rsidP="00C247A9">
      <w:pPr>
        <w:ind w:left="1410"/>
        <w:rPr>
          <w:rFonts w:ascii="Times New Roman" w:hAnsi="Times New Roman"/>
          <w:b/>
          <w:bCs/>
        </w:rPr>
      </w:pPr>
    </w:p>
    <w:p w14:paraId="6594F54D" w14:textId="1E937C7E" w:rsidR="00A15870" w:rsidRDefault="00A15870" w:rsidP="00C247A9">
      <w:pPr>
        <w:ind w:left="1410"/>
        <w:rPr>
          <w:rFonts w:ascii="Times New Roman" w:hAnsi="Times New Roman"/>
          <w:b/>
          <w:bCs/>
        </w:rPr>
      </w:pPr>
    </w:p>
    <w:p w14:paraId="1B1BA85F" w14:textId="0F16F9A4" w:rsidR="00A15870" w:rsidRDefault="00A15870" w:rsidP="00C247A9">
      <w:pPr>
        <w:ind w:left="1410"/>
        <w:rPr>
          <w:rFonts w:ascii="Times New Roman" w:hAnsi="Times New Roman"/>
          <w:b/>
          <w:bCs/>
        </w:rPr>
      </w:pPr>
    </w:p>
    <w:p w14:paraId="7F73B3BC" w14:textId="6405806F" w:rsidR="00A15870" w:rsidRDefault="00A15870" w:rsidP="00C247A9">
      <w:pPr>
        <w:ind w:left="1410"/>
        <w:rPr>
          <w:rFonts w:ascii="Times New Roman" w:hAnsi="Times New Roman"/>
          <w:b/>
          <w:bCs/>
        </w:rPr>
      </w:pPr>
    </w:p>
    <w:p w14:paraId="421D0288" w14:textId="6DF6FDEF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3778B48F" w14:textId="2CB399CF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01205519" w14:textId="56CFC29C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7B69ADEA" w14:textId="2041E2A5" w:rsidR="00A44EC6" w:rsidRDefault="00A44EC6" w:rsidP="00C247A9">
      <w:pPr>
        <w:ind w:left="1410"/>
        <w:rPr>
          <w:rFonts w:ascii="Times New Roman" w:hAnsi="Times New Roman"/>
          <w:b/>
          <w:bCs/>
        </w:rPr>
      </w:pPr>
    </w:p>
    <w:p w14:paraId="1AA09881" w14:textId="1E07480F" w:rsidR="00A44EC6" w:rsidRDefault="00A44EC6" w:rsidP="00C247A9">
      <w:pPr>
        <w:ind w:left="1410"/>
        <w:rPr>
          <w:rFonts w:ascii="Times New Roman" w:hAnsi="Times New Roman"/>
          <w:b/>
          <w:bCs/>
        </w:rPr>
      </w:pPr>
    </w:p>
    <w:p w14:paraId="18642DF6" w14:textId="5643E6EB" w:rsidR="00A44EC6" w:rsidRDefault="00A44EC6" w:rsidP="00C247A9">
      <w:pPr>
        <w:ind w:left="1410"/>
        <w:rPr>
          <w:rFonts w:ascii="Times New Roman" w:hAnsi="Times New Roman"/>
          <w:b/>
          <w:bCs/>
        </w:rPr>
      </w:pPr>
    </w:p>
    <w:p w14:paraId="05FEBA30" w14:textId="18397DBC" w:rsidR="00A44EC6" w:rsidRDefault="00A44EC6" w:rsidP="00C247A9">
      <w:pPr>
        <w:ind w:left="1410"/>
        <w:rPr>
          <w:rFonts w:ascii="Times New Roman" w:hAnsi="Times New Roman"/>
          <w:b/>
          <w:bCs/>
        </w:rPr>
      </w:pPr>
    </w:p>
    <w:p w14:paraId="709954E9" w14:textId="455B50A7" w:rsidR="00A44EC6" w:rsidRDefault="00A44EC6" w:rsidP="00C247A9">
      <w:pPr>
        <w:ind w:left="1410"/>
        <w:rPr>
          <w:rFonts w:ascii="Times New Roman" w:hAnsi="Times New Roman"/>
          <w:b/>
          <w:bCs/>
        </w:rPr>
      </w:pPr>
    </w:p>
    <w:p w14:paraId="5B31E09F" w14:textId="23831851" w:rsidR="00A44EC6" w:rsidRDefault="00A44EC6" w:rsidP="00C247A9">
      <w:pPr>
        <w:ind w:left="1410"/>
        <w:rPr>
          <w:rFonts w:ascii="Times New Roman" w:hAnsi="Times New Roman"/>
          <w:b/>
          <w:bCs/>
        </w:rPr>
      </w:pPr>
    </w:p>
    <w:p w14:paraId="7748AC1F" w14:textId="3A001327" w:rsidR="00A44EC6" w:rsidRDefault="00A44EC6" w:rsidP="00C247A9">
      <w:pPr>
        <w:ind w:left="1410"/>
        <w:rPr>
          <w:rFonts w:ascii="Times New Roman" w:hAnsi="Times New Roman"/>
          <w:b/>
          <w:bCs/>
        </w:rPr>
      </w:pPr>
    </w:p>
    <w:p w14:paraId="2FEB9C9B" w14:textId="7CE3AD30" w:rsidR="00A44EC6" w:rsidRDefault="00A44EC6" w:rsidP="00C247A9">
      <w:pPr>
        <w:ind w:left="1410"/>
        <w:rPr>
          <w:rFonts w:ascii="Times New Roman" w:hAnsi="Times New Roman"/>
          <w:b/>
          <w:bCs/>
        </w:rPr>
      </w:pPr>
    </w:p>
    <w:p w14:paraId="0BD835E3" w14:textId="0097F785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60FF69AE" w14:textId="4186132D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4F9A77EB" w14:textId="73F752A7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722ABA2A" w14:textId="6C34D3DE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41B0DA2B" w14:textId="38AE7A77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189CEEB7" w14:textId="577EA0E5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2FEF56CC" w14:textId="0BE18F47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67424EFD" w14:textId="75DD2296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3F84DD29" w14:textId="672553B8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1E09B447" w14:textId="7555D9FD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7998A2B6" w14:textId="6FA71E38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793F3F27" w14:textId="0A66C244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2337715D" w14:textId="2104BB47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4D915900" w14:textId="5C103668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750412B6" w14:textId="384ED5A4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4366C26E" w14:textId="27A56534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0F2853C9" w14:textId="1922FBF8" w:rsidR="00295605" w:rsidRDefault="00295605" w:rsidP="00C247A9">
      <w:pPr>
        <w:ind w:left="1410"/>
        <w:rPr>
          <w:rFonts w:ascii="Times New Roman" w:hAnsi="Times New Roman"/>
          <w:b/>
          <w:bCs/>
        </w:rPr>
      </w:pPr>
    </w:p>
    <w:p w14:paraId="6E292A8A" w14:textId="3C51DAFB" w:rsidR="00295605" w:rsidRDefault="00295605" w:rsidP="00C247A9">
      <w:pPr>
        <w:ind w:left="1410"/>
        <w:rPr>
          <w:rFonts w:ascii="Times New Roman" w:hAnsi="Times New Roman"/>
          <w:b/>
          <w:bCs/>
        </w:rPr>
      </w:pPr>
    </w:p>
    <w:p w14:paraId="2B4AA9EC" w14:textId="6A659B4C" w:rsidR="00295605" w:rsidRDefault="00295605" w:rsidP="00C247A9">
      <w:pPr>
        <w:ind w:left="1410"/>
        <w:rPr>
          <w:rFonts w:ascii="Times New Roman" w:hAnsi="Times New Roman"/>
          <w:b/>
          <w:bCs/>
        </w:rPr>
      </w:pPr>
    </w:p>
    <w:p w14:paraId="5703A746" w14:textId="77777777" w:rsidR="00295605" w:rsidRDefault="00295605" w:rsidP="00C247A9">
      <w:pPr>
        <w:ind w:left="1410"/>
        <w:rPr>
          <w:rFonts w:ascii="Times New Roman" w:hAnsi="Times New Roman"/>
          <w:b/>
          <w:bCs/>
        </w:rPr>
      </w:pPr>
    </w:p>
    <w:p w14:paraId="264F3570" w14:textId="47C1D451" w:rsidR="00CC0B1C" w:rsidRDefault="00CC0B1C" w:rsidP="00C247A9">
      <w:pPr>
        <w:ind w:left="1410"/>
        <w:rPr>
          <w:rFonts w:ascii="Times New Roman" w:hAnsi="Times New Roman"/>
          <w:b/>
          <w:bCs/>
        </w:rPr>
      </w:pPr>
    </w:p>
    <w:p w14:paraId="71FAFDF7" w14:textId="44EDE511" w:rsidR="00CC0B1C" w:rsidRDefault="00CC0B1C" w:rsidP="00C247A9">
      <w:pPr>
        <w:ind w:left="1410"/>
        <w:rPr>
          <w:rFonts w:ascii="Times New Roman" w:hAnsi="Times New Roman"/>
          <w:b/>
          <w:bCs/>
        </w:rPr>
      </w:pPr>
    </w:p>
    <w:p w14:paraId="75798C39" w14:textId="4795C12F" w:rsidR="00CC0B1C" w:rsidRDefault="00CC0B1C" w:rsidP="00C247A9">
      <w:pPr>
        <w:ind w:left="1410"/>
        <w:rPr>
          <w:rFonts w:ascii="Times New Roman" w:hAnsi="Times New Roman"/>
          <w:b/>
          <w:bCs/>
        </w:rPr>
      </w:pPr>
    </w:p>
    <w:p w14:paraId="572115C5" w14:textId="77777777" w:rsidR="00295605" w:rsidRDefault="00295605" w:rsidP="00C247A9">
      <w:pPr>
        <w:ind w:left="1410"/>
        <w:rPr>
          <w:rFonts w:ascii="Times New Roman" w:hAnsi="Times New Roman"/>
          <w:b/>
          <w:bCs/>
        </w:rPr>
      </w:pPr>
    </w:p>
    <w:p w14:paraId="54C46F61" w14:textId="0EF1BB40" w:rsidR="005A5728" w:rsidRDefault="005A5728" w:rsidP="00C247A9">
      <w:pPr>
        <w:ind w:left="1410"/>
        <w:rPr>
          <w:rFonts w:ascii="Times New Roman" w:hAnsi="Times New Roman"/>
          <w:b/>
          <w:bCs/>
        </w:rPr>
      </w:pPr>
    </w:p>
    <w:p w14:paraId="18FCC958" w14:textId="0A5A5C5B" w:rsidR="00A15870" w:rsidRDefault="00A15870" w:rsidP="00A15870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lastRenderedPageBreak/>
        <w:t>Itens 0</w:t>
      </w:r>
      <w:r>
        <w:rPr>
          <w:rFonts w:ascii="Times New Roman" w:hAnsi="Times New Roman"/>
          <w:b/>
          <w:bCs/>
        </w:rPr>
        <w:t xml:space="preserve">3 e 04 </w:t>
      </w:r>
      <w:r w:rsidRPr="001179F9">
        <w:rPr>
          <w:rFonts w:ascii="Times New Roman" w:hAnsi="Times New Roman"/>
          <w:b/>
          <w:bCs/>
        </w:rPr>
        <w:t xml:space="preserve">(Cota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8.538/15)</w:t>
      </w:r>
      <w:r>
        <w:rPr>
          <w:rFonts w:ascii="Times New Roman" w:hAnsi="Times New Roman"/>
          <w:b/>
          <w:bCs/>
        </w:rPr>
        <w:t>:</w:t>
      </w:r>
      <w:r w:rsidR="00295605">
        <w:rPr>
          <w:rFonts w:ascii="Times New Roman" w:hAnsi="Times New Roman"/>
          <w:b/>
          <w:bCs/>
        </w:rPr>
        <w:t xml:space="preserve"> </w:t>
      </w:r>
      <w:r w:rsidR="00295605" w:rsidRPr="00295605">
        <w:rPr>
          <w:rFonts w:ascii="Times New Roman" w:hAnsi="Times New Roman"/>
          <w:b/>
          <w:bCs/>
        </w:rPr>
        <w:t>Trator agrícola de pneus cabinado - Potência de 80CV</w:t>
      </w:r>
      <w:r>
        <w:rPr>
          <w:rFonts w:ascii="Times New Roman" w:hAnsi="Times New Roman"/>
          <w:b/>
          <w:bCs/>
        </w:rPr>
        <w:t>;</w:t>
      </w:r>
    </w:p>
    <w:p w14:paraId="34C4FFC0" w14:textId="77777777" w:rsidR="00A15870" w:rsidRDefault="00A15870" w:rsidP="00A15870">
      <w:pPr>
        <w:ind w:left="1410"/>
        <w:rPr>
          <w:rFonts w:ascii="Times New Roman" w:hAnsi="Times New Roman"/>
        </w:rPr>
      </w:pPr>
    </w:p>
    <w:p w14:paraId="049426DF" w14:textId="08E71671" w:rsidR="00A15870" w:rsidRDefault="00156975" w:rsidP="00A15870">
      <w:pPr>
        <w:ind w:left="1410"/>
        <w:rPr>
          <w:rFonts w:ascii="Times New Roman" w:hAnsi="Times New Roman"/>
        </w:rPr>
      </w:pPr>
      <w:r w:rsidRPr="00156975">
        <w:rPr>
          <w:rFonts w:ascii="Times New Roman" w:hAnsi="Times New Roman"/>
        </w:rPr>
        <w:t>TRATOR DE RODA COM CABINE PARA AGRICULTURA</w:t>
      </w:r>
      <w:r>
        <w:rPr>
          <w:rFonts w:ascii="Times New Roman" w:hAnsi="Times New Roman"/>
        </w:rPr>
        <w:t xml:space="preserve"> - </w:t>
      </w:r>
      <w:r w:rsidR="00295605" w:rsidRPr="00295605">
        <w:rPr>
          <w:rFonts w:ascii="Times New Roman" w:hAnsi="Times New Roman"/>
        </w:rPr>
        <w:t xml:space="preserve">Potência mínima de 80 CV; ano 2021 ou superior; Cabinado com estrutura protetora contra capotamento - ROPS; com ar condicionado e auto rádio mp3; motor com tecnologia </w:t>
      </w:r>
      <w:proofErr w:type="spellStart"/>
      <w:r w:rsidR="00295605" w:rsidRPr="00295605">
        <w:rPr>
          <w:rFonts w:ascii="Times New Roman" w:hAnsi="Times New Roman"/>
        </w:rPr>
        <w:t>Tier</w:t>
      </w:r>
      <w:proofErr w:type="spellEnd"/>
      <w:r w:rsidR="00295605" w:rsidRPr="00295605">
        <w:rPr>
          <w:rFonts w:ascii="Times New Roman" w:hAnsi="Times New Roman"/>
        </w:rPr>
        <w:t xml:space="preserve"> III/MAR 1 (em conformidade com a norma de emissão de poluentes); 04 rodas, tração 4x4; Transmissão com no mínimo 09 marchas à frente e 03 à ré, com reversor, com tomada de força @540; pneus dianteiros 12.4-24 R1, ou equivalente, com 10 lonas e pneus traseiros 18.4-30 R1, ou equivalente, com 10 lonas; Levante hidráulico de 3 pontos completo classe II, barra de tração com pino e contrapino, com pesos de lastro dianteiros de, no mínimo, 160Kg e pesos de lastro traseiros axiais de, no mínimo, 200Kg; Com comando Hidráulico de duas válvulas acionadas por alavanca, com 4 engates rápidos, sendo 02 de entrada e dois de saída. Alimentação por bomba injetora única, com funcionamento por engrenagens ou por pistões. Tanque de combustível capacidade mínima 100 litros; </w:t>
      </w:r>
      <w:proofErr w:type="gramStart"/>
      <w:r w:rsidR="00295605" w:rsidRPr="00295605">
        <w:rPr>
          <w:rFonts w:ascii="Times New Roman" w:hAnsi="Times New Roman"/>
        </w:rPr>
        <w:t>Montado</w:t>
      </w:r>
      <w:proofErr w:type="gramEnd"/>
      <w:r w:rsidR="00295605" w:rsidRPr="00295605">
        <w:rPr>
          <w:rFonts w:ascii="Times New Roman" w:hAnsi="Times New Roman"/>
        </w:rPr>
        <w:t>, pronto para ser utilizado com todos os fluidos e lubrificantes inclusos, tanque de combustível cheio; entrega técnica com os custos envolvidos inclusos; Garantia mínima de 01 (um) ano, sem limite hora/máquina. O(s) fabricante(s) dos bens, na data da assinatura da Ata de Registro de Preços, deverá(</w:t>
      </w:r>
      <w:proofErr w:type="spellStart"/>
      <w:r w:rsidR="00295605" w:rsidRPr="00295605">
        <w:rPr>
          <w:rFonts w:ascii="Times New Roman" w:hAnsi="Times New Roman"/>
        </w:rPr>
        <w:t>ão</w:t>
      </w:r>
      <w:proofErr w:type="spellEnd"/>
      <w:r w:rsidR="00295605" w:rsidRPr="00295605">
        <w:rPr>
          <w:rFonts w:ascii="Times New Roman" w:hAnsi="Times New Roman"/>
        </w:rPr>
        <w:t>) ter empresa(s) autorizada(s) para prestar assistência técnica em um raio de até 250 km, onde serão entregues os itens, sob pena de não ser contratada, na forma do que é descrito no item 5.13 do Termo de Referência.</w:t>
      </w:r>
    </w:p>
    <w:p w14:paraId="42A3DC61" w14:textId="77777777" w:rsidR="00A15870" w:rsidRDefault="00A15870" w:rsidP="00A15870">
      <w:pPr>
        <w:ind w:left="1410"/>
        <w:rPr>
          <w:rFonts w:ascii="Times New Roman" w:hAnsi="Times New Roman"/>
        </w:rPr>
      </w:pPr>
    </w:p>
    <w:p w14:paraId="234A44E4" w14:textId="0E09403D" w:rsidR="00A15870" w:rsidRDefault="00A15870" w:rsidP="00A15870">
      <w:pPr>
        <w:ind w:left="1410"/>
        <w:rPr>
          <w:rFonts w:ascii="Times New Roman" w:hAnsi="Times New Roman"/>
        </w:rPr>
      </w:pPr>
      <w:proofErr w:type="spellStart"/>
      <w:r w:rsidRPr="001179F9">
        <w:rPr>
          <w:rFonts w:ascii="Times New Roman" w:hAnsi="Times New Roman"/>
          <w:b/>
          <w:bCs/>
        </w:rPr>
        <w:t>CATMAT</w:t>
      </w:r>
      <w:proofErr w:type="spellEnd"/>
      <w:r w:rsidRPr="001179F9"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</w:rPr>
        <w:t xml:space="preserve"> </w:t>
      </w:r>
      <w:r w:rsidR="00CC0B1C" w:rsidRPr="00CC0B1C">
        <w:rPr>
          <w:rFonts w:ascii="Times New Roman" w:hAnsi="Times New Roman"/>
        </w:rPr>
        <w:t>BR</w:t>
      </w:r>
      <w:r w:rsidR="00156975" w:rsidRPr="00295605">
        <w:rPr>
          <w:rFonts w:ascii="Times New Roman" w:hAnsi="Times New Roman"/>
        </w:rPr>
        <w:t>455702</w:t>
      </w:r>
    </w:p>
    <w:p w14:paraId="73419586" w14:textId="77777777" w:rsidR="00A15870" w:rsidRDefault="00A15870" w:rsidP="00A15870">
      <w:pPr>
        <w:ind w:left="1410"/>
        <w:rPr>
          <w:rFonts w:ascii="Times New Roman" w:hAnsi="Times New Roman"/>
        </w:rPr>
      </w:pPr>
    </w:p>
    <w:p w14:paraId="58B0FD93" w14:textId="2D9E6628" w:rsidR="00A15870" w:rsidRDefault="00A15870" w:rsidP="00A15870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</w:t>
      </w:r>
      <w:r w:rsidR="00156975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(</w:t>
      </w:r>
      <w:r w:rsidR="00156975">
        <w:rPr>
          <w:rFonts w:ascii="Times New Roman" w:hAnsi="Times New Roman"/>
        </w:rPr>
        <w:t>dez</w:t>
      </w:r>
      <w:r>
        <w:rPr>
          <w:rFonts w:ascii="Times New Roman" w:hAnsi="Times New Roman"/>
        </w:rPr>
        <w:t>)</w:t>
      </w:r>
    </w:p>
    <w:p w14:paraId="7EDBC9D6" w14:textId="14C3251E" w:rsidR="00A15870" w:rsidRDefault="00A15870" w:rsidP="00A15870">
      <w:pPr>
        <w:ind w:left="1410"/>
        <w:rPr>
          <w:rFonts w:ascii="Times New Roman" w:hAnsi="Times New Roman"/>
          <w:b/>
          <w:bCs/>
        </w:rPr>
      </w:pPr>
    </w:p>
    <w:p w14:paraId="1D73A014" w14:textId="77D0F13C" w:rsidR="00A15870" w:rsidRDefault="00A15870" w:rsidP="00A15870">
      <w:pPr>
        <w:ind w:left="1410"/>
        <w:rPr>
          <w:rFonts w:ascii="Times New Roman" w:hAnsi="Times New Roman"/>
          <w:b/>
          <w:bCs/>
        </w:rPr>
      </w:pPr>
    </w:p>
    <w:p w14:paraId="25C38010" w14:textId="340E1EF7" w:rsidR="00A15870" w:rsidRDefault="00A15870" w:rsidP="00A15870">
      <w:pPr>
        <w:ind w:left="1410"/>
        <w:rPr>
          <w:rFonts w:ascii="Times New Roman" w:hAnsi="Times New Roman"/>
          <w:b/>
          <w:bCs/>
        </w:rPr>
      </w:pPr>
    </w:p>
    <w:p w14:paraId="1CC6B543" w14:textId="0E24826A" w:rsidR="005A5728" w:rsidRDefault="005A5728" w:rsidP="00A15870">
      <w:pPr>
        <w:ind w:left="1410"/>
        <w:rPr>
          <w:rFonts w:ascii="Times New Roman" w:hAnsi="Times New Roman"/>
          <w:b/>
          <w:bCs/>
        </w:rPr>
      </w:pPr>
    </w:p>
    <w:p w14:paraId="29ABE364" w14:textId="423F46B9" w:rsidR="005A5728" w:rsidRDefault="005A5728" w:rsidP="00A15870">
      <w:pPr>
        <w:ind w:left="1410"/>
        <w:rPr>
          <w:rFonts w:ascii="Times New Roman" w:hAnsi="Times New Roman"/>
          <w:b/>
          <w:bCs/>
        </w:rPr>
      </w:pPr>
    </w:p>
    <w:p w14:paraId="1089076B" w14:textId="73EE5009" w:rsidR="005A5728" w:rsidRDefault="005A5728" w:rsidP="00A15870">
      <w:pPr>
        <w:ind w:left="1410"/>
        <w:rPr>
          <w:rFonts w:ascii="Times New Roman" w:hAnsi="Times New Roman"/>
          <w:b/>
          <w:bCs/>
        </w:rPr>
      </w:pPr>
    </w:p>
    <w:p w14:paraId="18816401" w14:textId="36E64238" w:rsidR="005A5728" w:rsidRDefault="005A5728" w:rsidP="00A15870">
      <w:pPr>
        <w:ind w:left="1410"/>
        <w:rPr>
          <w:rFonts w:ascii="Times New Roman" w:hAnsi="Times New Roman"/>
          <w:b/>
          <w:bCs/>
        </w:rPr>
      </w:pPr>
    </w:p>
    <w:p w14:paraId="3A873F9A" w14:textId="719FC7F1" w:rsidR="005A5728" w:rsidRDefault="005A5728" w:rsidP="00A15870">
      <w:pPr>
        <w:ind w:left="1410"/>
        <w:rPr>
          <w:rFonts w:ascii="Times New Roman" w:hAnsi="Times New Roman"/>
          <w:b/>
          <w:bCs/>
        </w:rPr>
      </w:pPr>
    </w:p>
    <w:p w14:paraId="19C64FF4" w14:textId="67F61097" w:rsidR="005A5728" w:rsidRDefault="005A5728" w:rsidP="00A15870">
      <w:pPr>
        <w:ind w:left="1410"/>
        <w:rPr>
          <w:rFonts w:ascii="Times New Roman" w:hAnsi="Times New Roman"/>
          <w:b/>
          <w:bCs/>
        </w:rPr>
      </w:pPr>
    </w:p>
    <w:p w14:paraId="65E75F99" w14:textId="784B5C40" w:rsidR="005A5728" w:rsidRDefault="005A5728" w:rsidP="00A15870">
      <w:pPr>
        <w:ind w:left="1410"/>
        <w:rPr>
          <w:rFonts w:ascii="Times New Roman" w:hAnsi="Times New Roman"/>
          <w:b/>
          <w:bCs/>
        </w:rPr>
      </w:pPr>
    </w:p>
    <w:p w14:paraId="7E1F0420" w14:textId="06EE29A7" w:rsidR="005A5728" w:rsidRDefault="005A5728" w:rsidP="00A15870">
      <w:pPr>
        <w:ind w:left="1410"/>
        <w:rPr>
          <w:rFonts w:ascii="Times New Roman" w:hAnsi="Times New Roman"/>
          <w:b/>
          <w:bCs/>
        </w:rPr>
      </w:pPr>
    </w:p>
    <w:p w14:paraId="79C0A00A" w14:textId="6DC89E8F" w:rsidR="005A5728" w:rsidRDefault="005A5728" w:rsidP="00A15870">
      <w:pPr>
        <w:ind w:left="1410"/>
        <w:rPr>
          <w:rFonts w:ascii="Times New Roman" w:hAnsi="Times New Roman"/>
          <w:b/>
          <w:bCs/>
        </w:rPr>
      </w:pPr>
    </w:p>
    <w:p w14:paraId="4477C8C3" w14:textId="215F319E" w:rsidR="005A5728" w:rsidRDefault="005A5728" w:rsidP="00A15870">
      <w:pPr>
        <w:ind w:left="1410"/>
        <w:rPr>
          <w:rFonts w:ascii="Times New Roman" w:hAnsi="Times New Roman"/>
          <w:b/>
          <w:bCs/>
        </w:rPr>
      </w:pPr>
    </w:p>
    <w:p w14:paraId="5BFF3F1B" w14:textId="6A24DE4D" w:rsidR="00CC0B1C" w:rsidRDefault="00CC0B1C" w:rsidP="00A15870">
      <w:pPr>
        <w:ind w:left="1410"/>
        <w:rPr>
          <w:rFonts w:ascii="Times New Roman" w:hAnsi="Times New Roman"/>
          <w:b/>
          <w:bCs/>
        </w:rPr>
      </w:pPr>
    </w:p>
    <w:p w14:paraId="2371149A" w14:textId="44302F9D" w:rsidR="00CC0B1C" w:rsidRDefault="00CC0B1C" w:rsidP="00A15870">
      <w:pPr>
        <w:ind w:left="1410"/>
        <w:rPr>
          <w:rFonts w:ascii="Times New Roman" w:hAnsi="Times New Roman"/>
          <w:b/>
          <w:bCs/>
        </w:rPr>
      </w:pPr>
    </w:p>
    <w:p w14:paraId="079F6172" w14:textId="086A09DD" w:rsidR="00CC0B1C" w:rsidRDefault="00CC0B1C" w:rsidP="00A15870">
      <w:pPr>
        <w:ind w:left="1410"/>
        <w:rPr>
          <w:rFonts w:ascii="Times New Roman" w:hAnsi="Times New Roman"/>
          <w:b/>
          <w:bCs/>
        </w:rPr>
      </w:pPr>
    </w:p>
    <w:p w14:paraId="670926A5" w14:textId="77777777" w:rsidR="00CC0B1C" w:rsidRDefault="00CC0B1C" w:rsidP="00A15870">
      <w:pPr>
        <w:ind w:left="1410"/>
        <w:rPr>
          <w:rFonts w:ascii="Times New Roman" w:hAnsi="Times New Roman"/>
          <w:b/>
          <w:bCs/>
        </w:rPr>
      </w:pPr>
    </w:p>
    <w:p w14:paraId="21D7EAFD" w14:textId="735EA36E" w:rsidR="005A5728" w:rsidRDefault="005A5728" w:rsidP="00A15870">
      <w:pPr>
        <w:ind w:left="1410"/>
        <w:rPr>
          <w:rFonts w:ascii="Times New Roman" w:hAnsi="Times New Roman"/>
          <w:b/>
          <w:bCs/>
        </w:rPr>
      </w:pPr>
    </w:p>
    <w:sectPr w:rsidR="005A5728">
      <w:headerReference w:type="default" r:id="rId7"/>
      <w:footerReference w:type="default" r:id="rId8"/>
      <w:pgSz w:w="11906" w:h="16838"/>
      <w:pgMar w:top="2268" w:right="1134" w:bottom="1134" w:left="1701" w:header="1134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63DC0" w14:textId="77777777" w:rsidR="00232A63" w:rsidRDefault="00232A63">
      <w:r>
        <w:separator/>
      </w:r>
    </w:p>
  </w:endnote>
  <w:endnote w:type="continuationSeparator" w:id="0">
    <w:p w14:paraId="39525BB5" w14:textId="77777777" w:rsidR="00232A63" w:rsidRDefault="00232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0C47" w14:textId="77777777" w:rsidR="0078561F" w:rsidRDefault="006C7F36">
    <w:pPr>
      <w:pStyle w:val="Rodap"/>
      <w:pBdr>
        <w:top w:val="single" w:sz="4" w:space="1" w:color="000000"/>
      </w:pBdr>
      <w:ind w:right="360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9" behindDoc="1" locked="0" layoutInCell="1" allowOverlap="1" wp14:anchorId="27D2D027" wp14:editId="5D8827A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6360" cy="174625"/>
              <wp:effectExtent l="0" t="0" r="0" b="0"/>
              <wp:wrapSquare wrapText="largest"/>
              <wp:docPr id="3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6545EC" w14:textId="1C9D4128" w:rsidR="0078561F" w:rsidRDefault="006C7F36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>PAGE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2F630E">
                            <w:rPr>
                              <w:rStyle w:val="Nmerodepgina"/>
                              <w:noProof/>
                            </w:rPr>
                            <w:t>2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7D2D027" id="Quadro1" o:spid="_x0000_s1026" style="position:absolute;left:0;text-align:left;margin-left:-44.4pt;margin-top:.05pt;width:6.8pt;height:13.75pt;z-index:-50331647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Co2vAEAAOkDAAAOAAAAZHJzL2Uyb0RvYy54bWysU9tu2zAMfR/QfxD03jhpsS4w4hTDihYD&#10;hq1Ytw+QZSkWoBsoNXb+fhTjON321KIvMkXxHJKH9OZ2dJbtFSQTfMNXiyVnysvQGb9r+O9f95dr&#10;zlIWvhM2eNXwg0r8dnvxYTPEWl2FPthOAUMSn+ohNrzPOdZVlWSvnEiLEJXHRx3AiYxX2FUdiAHZ&#10;na2ulsubagjQRQhSpYTeu+Mj3xK/1krmH1onlZltONaW6QQ623JW242odyBib+RUhnhDFU4Yj0ln&#10;qjuRBXsG8x+VMxJCCjovZHBV0NpIRT1gN6vlP9089SIq6gXFSXGWKb0frfy+f4qPgDIMMdUJzdLF&#10;qMGVL9bHRhLrMIulxswkOtcfb9aoqMSX1afrNdpIUp2xEVJ+UMGxYjQccBSkkNh/S/kYegopqXy4&#10;N9bSOKz/y4GcxVOdCyQrH6wqcdb/VJqZjuosjiRh136xwI5jxj3EMk/DJjIElECNCV+JnSAFrWi7&#10;XomfQZQ/+DzjnfEBSMIX3RUzj+04jacN3eERmP3qcQPKNp8MOBntZJAO8fNzRlVJ7MJ0hE9K4j7R&#10;uKbdLwv78k5R5z90+wcAAP//AwBQSwMEFAAGAAgAAAAhAOH62xbaAAAAAwEAAA8AAABkcnMvZG93&#10;bnJldi54bWxMj8FOwzAQRO9I/QdrK3FB1GmQQglxqgqpNyTUlAPctvESB+J1FLtN4OtxTnDcmdHM&#10;22I72U5caPCtYwXrVQKCuHa65UbB63F/uwHhA7LGzjEp+CYP23JxVWCu3cgHulShEbGEfY4KTAh9&#10;LqWvDVn0K9cTR+/DDRZDPIdG6gHHWG47mSZJJi22HBcM9vRkqP6qzlbB/uWtJf6Rh5uHzeg+6/S9&#10;Ms+9UtfLafcIItAU/sIw40d0KCPTyZ1Ze9EpiI+EWRWzd5eBOClI7zOQZSH/s5e/AAAA//8DAFBL&#10;AQItABQABgAIAAAAIQC2gziS/gAAAOEBAAATAAAAAAAAAAAAAAAAAAAAAABbQ29udGVudF9UeXBl&#10;c10ueG1sUEsBAi0AFAAGAAgAAAAhADj9If/WAAAAlAEAAAsAAAAAAAAAAAAAAAAALwEAAF9yZWxz&#10;Ly5yZWxzUEsBAi0AFAAGAAgAAAAhAA+IKja8AQAA6QMAAA4AAAAAAAAAAAAAAAAALgIAAGRycy9l&#10;Mm9Eb2MueG1sUEsBAi0AFAAGAAgAAAAhAOH62xbaAAAAAwEAAA8AAAAAAAAAAAAAAAAAFgQAAGRy&#10;cy9kb3ducmV2LnhtbFBLBQYAAAAABAAEAPMAAAAdBQAAAAA=&#10;" filled="f" stroked="f">
              <v:textbox style="mso-fit-shape-to-text:t" inset="0,0,0,0">
                <w:txbxContent>
                  <w:p w14:paraId="4B6545EC" w14:textId="1C9D4128" w:rsidR="0078561F" w:rsidRDefault="006C7F36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>PAGE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2F630E">
                      <w:rPr>
                        <w:rStyle w:val="Nmerodepgina"/>
                        <w:noProof/>
                      </w:rPr>
                      <w:t>2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8AADB" w14:textId="77777777" w:rsidR="00232A63" w:rsidRDefault="00232A63">
      <w:r>
        <w:separator/>
      </w:r>
    </w:p>
  </w:footnote>
  <w:footnote w:type="continuationSeparator" w:id="0">
    <w:p w14:paraId="7A35C149" w14:textId="77777777" w:rsidR="00232A63" w:rsidRDefault="00232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9" w:type="dxa"/>
      <w:jc w:val="center"/>
      <w:tblLook w:val="01E0" w:firstRow="1" w:lastRow="1" w:firstColumn="1" w:lastColumn="1" w:noHBand="0" w:noVBand="0"/>
    </w:tblPr>
    <w:tblGrid>
      <w:gridCol w:w="2186"/>
      <w:gridCol w:w="7283"/>
    </w:tblGrid>
    <w:tr w:rsidR="0078561F" w14:paraId="5D78495F" w14:textId="77777777">
      <w:trPr>
        <w:jc w:val="center"/>
      </w:trPr>
      <w:tc>
        <w:tcPr>
          <w:tcW w:w="2177" w:type="dxa"/>
          <w:shd w:val="clear" w:color="auto" w:fill="auto"/>
          <w:vAlign w:val="center"/>
        </w:tcPr>
        <w:p w14:paraId="64FB8DDB" w14:textId="77777777" w:rsidR="0078561F" w:rsidRDefault="006C7F36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 wp14:anchorId="68CD6492" wp14:editId="2A9817B9">
                <wp:extent cx="1250950" cy="304800"/>
                <wp:effectExtent l="0" t="0" r="0" b="0"/>
                <wp:docPr id="2" name="Imagem 4" descr="Nova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4" descr="Nova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91" w:type="dxa"/>
          <w:shd w:val="clear" w:color="auto" w:fill="auto"/>
          <w:vAlign w:val="center"/>
        </w:tcPr>
        <w:p w14:paraId="217DE73F" w14:textId="77777777" w:rsidR="0078561F" w:rsidRDefault="006C7F36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Ministério do Desenvolvimento Regional</w:t>
          </w:r>
        </w:p>
        <w:p w14:paraId="761D29CF" w14:textId="77777777" w:rsidR="0078561F" w:rsidRDefault="006C7F36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Companhia de Desenvolvimento dos Vales do São Francisco e do Parnaíba</w:t>
          </w:r>
        </w:p>
        <w:p w14:paraId="57D9E6CE" w14:textId="4CEB1647" w:rsidR="00B07E48" w:rsidRPr="00B07E48" w:rsidRDefault="00B07E48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5ª Superintendência Regional</w:t>
          </w:r>
        </w:p>
      </w:tc>
    </w:tr>
  </w:tbl>
  <w:p w14:paraId="6AA3A7DD" w14:textId="77777777" w:rsidR="0078561F" w:rsidRDefault="0078561F">
    <w:pPr>
      <w:pStyle w:val="Cabealho"/>
      <w:pBdr>
        <w:bottom w:val="single" w:sz="2" w:space="1" w:color="000000"/>
      </w:pBdr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61F"/>
    <w:rsid w:val="0004098C"/>
    <w:rsid w:val="0004696E"/>
    <w:rsid w:val="00082E60"/>
    <w:rsid w:val="001179F9"/>
    <w:rsid w:val="00124FF3"/>
    <w:rsid w:val="00156975"/>
    <w:rsid w:val="0016260C"/>
    <w:rsid w:val="00171EC5"/>
    <w:rsid w:val="00232A63"/>
    <w:rsid w:val="00293F69"/>
    <w:rsid w:val="00295605"/>
    <w:rsid w:val="002F33F4"/>
    <w:rsid w:val="002F630E"/>
    <w:rsid w:val="00334F0F"/>
    <w:rsid w:val="003B1425"/>
    <w:rsid w:val="003D1B0F"/>
    <w:rsid w:val="00442380"/>
    <w:rsid w:val="00467045"/>
    <w:rsid w:val="005501FE"/>
    <w:rsid w:val="005A5728"/>
    <w:rsid w:val="005D6058"/>
    <w:rsid w:val="00617CDD"/>
    <w:rsid w:val="00627656"/>
    <w:rsid w:val="006C7F36"/>
    <w:rsid w:val="006E3B64"/>
    <w:rsid w:val="006E58C6"/>
    <w:rsid w:val="00716DFC"/>
    <w:rsid w:val="007372EB"/>
    <w:rsid w:val="00751202"/>
    <w:rsid w:val="0078561F"/>
    <w:rsid w:val="007F3622"/>
    <w:rsid w:val="0080725F"/>
    <w:rsid w:val="00807430"/>
    <w:rsid w:val="00833C79"/>
    <w:rsid w:val="00851602"/>
    <w:rsid w:val="008D0341"/>
    <w:rsid w:val="00953747"/>
    <w:rsid w:val="009809F5"/>
    <w:rsid w:val="009A02D5"/>
    <w:rsid w:val="00A15870"/>
    <w:rsid w:val="00A44EC6"/>
    <w:rsid w:val="00AD293C"/>
    <w:rsid w:val="00B07E48"/>
    <w:rsid w:val="00C247A9"/>
    <w:rsid w:val="00C34F81"/>
    <w:rsid w:val="00CC0B1C"/>
    <w:rsid w:val="00DD5FAC"/>
    <w:rsid w:val="00DE6259"/>
    <w:rsid w:val="00DF3F5F"/>
    <w:rsid w:val="00E23F3A"/>
    <w:rsid w:val="00E6424B"/>
    <w:rsid w:val="00EC078A"/>
    <w:rsid w:val="00ED01B9"/>
    <w:rsid w:val="00EF5184"/>
    <w:rsid w:val="00FA019A"/>
    <w:rsid w:val="00FB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89CA"/>
  <w15:docId w15:val="{EA21CE88-778E-473D-A6A0-C1E7C72B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C79"/>
    <w:pPr>
      <w:jc w:val="both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styleId="Nmerodepgina">
    <w:name w:val="page number"/>
    <w:basedOn w:val="Fontepargpadro"/>
    <w:uiPriority w:val="99"/>
    <w:qFormat/>
    <w:rsid w:val="00F5006E"/>
    <w:rPr>
      <w:rFonts w:cs="Times New Roman"/>
    </w:rPr>
  </w:style>
  <w:style w:type="character" w:customStyle="1" w:styleId="simplelist-classic-oddtext">
    <w:name w:val="simplelist-classic-oddtext"/>
    <w:basedOn w:val="Fontepargpadro"/>
    <w:qFormat/>
    <w:rsid w:val="004356ED"/>
    <w:rPr>
      <w:rFonts w:cs="Times New Roman"/>
    </w:rPr>
  </w:style>
  <w:style w:type="character" w:customStyle="1" w:styleId="label-dados-texto">
    <w:name w:val="label-dados-texto"/>
    <w:basedOn w:val="Fontepargpadro"/>
    <w:uiPriority w:val="99"/>
    <w:qFormat/>
    <w:rsid w:val="004356ED"/>
    <w:rPr>
      <w:rFonts w:cs="Times New Roman"/>
    </w:rPr>
  </w:style>
  <w:style w:type="character" w:customStyle="1" w:styleId="TextodebaloChar">
    <w:name w:val="Texto de balão Char"/>
    <w:basedOn w:val="Fontepargpadro"/>
    <w:link w:val="Textodebalo"/>
    <w:uiPriority w:val="99"/>
    <w:qFormat/>
    <w:locked/>
    <w:rsid w:val="00516DAD"/>
    <w:rPr>
      <w:rFonts w:ascii="Tahoma" w:hAnsi="Tahoma" w:cs="Times New Roman"/>
      <w:sz w:val="16"/>
    </w:rPr>
  </w:style>
  <w:style w:type="character" w:customStyle="1" w:styleId="label-dados-texto1">
    <w:name w:val="label-dados-texto1"/>
    <w:basedOn w:val="Fontepargpadro"/>
    <w:uiPriority w:val="99"/>
    <w:qFormat/>
    <w:rsid w:val="00F15EC4"/>
    <w:rPr>
      <w:rFonts w:ascii="Tahoma" w:hAnsi="Tahoma" w:cs="Tahoma"/>
      <w:b/>
      <w:bCs/>
      <w:color w:val="003366"/>
      <w:sz w:val="10"/>
      <w:szCs w:val="10"/>
    </w:rPr>
  </w:style>
  <w:style w:type="character" w:customStyle="1" w:styleId="simplelist-classic-oddtext1">
    <w:name w:val="simplelist-classic-oddtext1"/>
    <w:basedOn w:val="Fontepargpadro"/>
    <w:uiPriority w:val="99"/>
    <w:qFormat/>
    <w:rsid w:val="008D0E00"/>
    <w:rPr>
      <w:rFonts w:ascii="Tahoma" w:hAnsi="Tahoma" w:cs="Tahoma"/>
      <w:b/>
      <w:bCs/>
      <w:color w:val="003366"/>
      <w:sz w:val="10"/>
      <w:szCs w:val="10"/>
    </w:rPr>
  </w:style>
  <w:style w:type="character" w:customStyle="1" w:styleId="fieldset-titulo">
    <w:name w:val="fieldset-titulo"/>
    <w:basedOn w:val="Fontepargpadro"/>
    <w:qFormat/>
    <w:rsid w:val="00810F66"/>
  </w:style>
  <w:style w:type="character" w:customStyle="1" w:styleId="Corpodetexto2Char">
    <w:name w:val="Corpo de texto 2 Char"/>
    <w:basedOn w:val="Fontepargpadro"/>
    <w:link w:val="Corpodetexto2"/>
    <w:semiHidden/>
    <w:qFormat/>
    <w:rsid w:val="00686C80"/>
    <w:rPr>
      <w:sz w:val="24"/>
      <w:szCs w:val="20"/>
      <w:lang w:eastAsia="ar-SA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A1341C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A1341C"/>
    <w:rPr>
      <w:rFonts w:ascii="Arial" w:hAnsi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A1341C"/>
    <w:rPr>
      <w:rFonts w:ascii="Arial" w:hAnsi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locked/>
    <w:rsid w:val="00013224"/>
    <w:rPr>
      <w:b/>
      <w:bCs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013224"/>
    <w:rPr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9B00AD"/>
    <w:rPr>
      <w:rFonts w:ascii="Arial Narrow" w:hAnsi="Arial Narrow"/>
      <w:b/>
      <w:bCs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8F1801"/>
    <w:rPr>
      <w:rFonts w:ascii="Arial" w:hAnsi="Arial"/>
      <w:sz w:val="24"/>
      <w:szCs w:val="24"/>
    </w:rPr>
  </w:style>
  <w:style w:type="paragraph" w:styleId="Ttulo">
    <w:name w:val="Title"/>
    <w:basedOn w:val="Normal"/>
    <w:next w:val="Corpodetexto"/>
    <w:link w:val="TtuloChar"/>
    <w:qFormat/>
    <w:locked/>
    <w:rsid w:val="009B00AD"/>
    <w:pPr>
      <w:jc w:val="center"/>
    </w:pPr>
    <w:rPr>
      <w:rFonts w:ascii="Arial Narrow" w:hAnsi="Arial Narrow"/>
      <w:b/>
      <w:bCs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rsid w:val="00215C0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215C01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qFormat/>
    <w:rsid w:val="00481852"/>
    <w:pPr>
      <w:widowControl w:val="0"/>
      <w:suppressLineNumbers/>
      <w:suppressAutoHyphens/>
    </w:pPr>
    <w:rPr>
      <w:kern w:val="2"/>
    </w:rPr>
  </w:style>
  <w:style w:type="paragraph" w:styleId="Textodebalo">
    <w:name w:val="Balloon Text"/>
    <w:basedOn w:val="Normal"/>
    <w:link w:val="TextodebaloChar"/>
    <w:uiPriority w:val="99"/>
    <w:qFormat/>
    <w:rsid w:val="00516DAD"/>
    <w:rPr>
      <w:rFonts w:ascii="Tahoma" w:hAnsi="Tahoma"/>
      <w:sz w:val="16"/>
      <w:szCs w:val="16"/>
    </w:rPr>
  </w:style>
  <w:style w:type="paragraph" w:styleId="PargrafodaLista">
    <w:name w:val="List Paragraph"/>
    <w:basedOn w:val="Normal"/>
    <w:qFormat/>
    <w:rsid w:val="00CC6BBA"/>
    <w:pPr>
      <w:ind w:left="720"/>
      <w:contextualSpacing/>
    </w:pPr>
  </w:style>
  <w:style w:type="paragraph" w:styleId="Corpodetexto2">
    <w:name w:val="Body Text 2"/>
    <w:basedOn w:val="Normal"/>
    <w:link w:val="Corpodetexto2Char"/>
    <w:semiHidden/>
    <w:qFormat/>
    <w:rsid w:val="00686C80"/>
    <w:pPr>
      <w:suppressAutoHyphens/>
    </w:pPr>
    <w:rPr>
      <w:rFonts w:ascii="Times New Roman" w:hAnsi="Times New Roman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A1341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A1341C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F1801"/>
    <w:pPr>
      <w:spacing w:after="120"/>
      <w:ind w:left="283"/>
    </w:p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99"/>
    <w:rsid w:val="00215C0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B5C0E-DA0B-42E1-ADDF-A087B405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710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no: xxx/2009</vt:lpstr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Técnica no: xxx/2009</dc:title>
  <dc:subject/>
  <dc:creator>CODEVASF</dc:creator>
  <dc:description/>
  <cp:lastModifiedBy>Thiago Cedraz de Almeida</cp:lastModifiedBy>
  <cp:revision>5</cp:revision>
  <cp:lastPrinted>2020-02-26T20:59:00Z</cp:lastPrinted>
  <dcterms:created xsi:type="dcterms:W3CDTF">2021-09-02T13:55:00Z</dcterms:created>
  <dcterms:modified xsi:type="dcterms:W3CDTF">2022-04-11T16:19:00Z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